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F82F" w14:textId="1A09043B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>Financial Statements</w:t>
      </w:r>
    </w:p>
    <w:p w14:paraId="241CEA1C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>WHITBY LITERARY AND PHILOSOPHICAL SOCIETY</w:t>
      </w:r>
    </w:p>
    <w:p w14:paraId="044DEF25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TRUSTEES' REPORT</w:t>
      </w:r>
    </w:p>
    <w:p w14:paraId="3CDC100B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kern w:val="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kern w:val="0"/>
          <w:sz w:val="20"/>
          <w:szCs w:val="20"/>
        </w:rPr>
        <w:t>FOR THE YEAR ENDED 30 SEPTEMBER 2025</w:t>
      </w:r>
    </w:p>
    <w:p w14:paraId="61605946" w14:textId="5A9A19EE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8"/>
          <w:szCs w:val="18"/>
        </w:rPr>
      </w:pPr>
    </w:p>
    <w:p w14:paraId="484DC61E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The trustees present their annual report and financial statements for the year ended 30 September 2025.</w:t>
      </w:r>
    </w:p>
    <w:p w14:paraId="3DB1B16C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79EFF468" w14:textId="4F9B8AEF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The financial statements have been prepared in accordance with the accounting policies set out in note 1 to the financial statements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and comply with the charity's governing document, the Charities Act 2011 and "Accounting and Reporting by Charities: Statement of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Recommended Practice applicable to charities preparing their accounts in accordance with the Financial Reporting Standard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applicable in the UK and Republic of Ireland published in October 2019".</w:t>
      </w:r>
    </w:p>
    <w:p w14:paraId="7BBBDBEC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0580277B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The legal and administrative information page forms part of this report.</w:t>
      </w:r>
    </w:p>
    <w:p w14:paraId="384D3B16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20774A2A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>Objectives and activities</w:t>
      </w:r>
    </w:p>
    <w:p w14:paraId="1B64F4BE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The Society’s objects are to educate the public in the interests of Science, the Humanities and Literature by the provision of a</w:t>
      </w:r>
    </w:p>
    <w:p w14:paraId="0B0DDB71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Museum, a Library and Archives and by such charitable means as may be practicable.</w:t>
      </w:r>
    </w:p>
    <w:p w14:paraId="12F709D9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3F9623D8" w14:textId="6633CE35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In pursuit of that overall objective, the Society continues to maintain and develop the Museum, which continues to attract visitors from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 xml:space="preserve">all parts of the UK and overseas, including a number of educational visits from school parties. It is staffed by a team of </w:t>
      </w:r>
      <w:r>
        <w:rPr>
          <w:rFonts w:ascii="ArialMT" w:hAnsi="ArialMT" w:cs="ArialMT"/>
          <w:kern w:val="0"/>
          <w:sz w:val="16"/>
          <w:szCs w:val="16"/>
        </w:rPr>
        <w:t>volunteers, including</w:t>
      </w:r>
      <w:r>
        <w:rPr>
          <w:rFonts w:ascii="ArialMT" w:hAnsi="ArialMT" w:cs="ArialMT"/>
          <w:kern w:val="0"/>
          <w:sz w:val="16"/>
          <w:szCs w:val="16"/>
        </w:rPr>
        <w:t xml:space="preserve"> the sectional curators, supported by paid part-time staff comprising a Documentation officer, a </w:t>
      </w:r>
      <w:proofErr w:type="gramStart"/>
      <w:r>
        <w:rPr>
          <w:rFonts w:ascii="ArialMT" w:hAnsi="ArialMT" w:cs="ArialMT"/>
          <w:kern w:val="0"/>
          <w:sz w:val="16"/>
          <w:szCs w:val="16"/>
        </w:rPr>
        <w:t>Museum</w:t>
      </w:r>
      <w:proofErr w:type="gramEnd"/>
      <w:r>
        <w:rPr>
          <w:rFonts w:ascii="ArialMT" w:hAnsi="ArialMT" w:cs="ArialMT"/>
          <w:kern w:val="0"/>
          <w:sz w:val="16"/>
          <w:szCs w:val="16"/>
        </w:rPr>
        <w:t xml:space="preserve"> manager, an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Administration Assistant, three museum assistants, four casual relief Museum Assistants and NLHF-supported Archivist and Outreach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Officer.</w:t>
      </w:r>
    </w:p>
    <w:p w14:paraId="2F203DF9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145A66AF" w14:textId="0D42FB05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The Library and Archives, amassed over the Society’s life, amount to over 7,500 volumes covering a wide range of topics of local</w:t>
      </w:r>
      <w:r>
        <w:rPr>
          <w:rFonts w:ascii="ArialMT" w:hAnsi="ArialMT" w:cs="ArialMT"/>
          <w:kern w:val="0"/>
          <w:sz w:val="16"/>
          <w:szCs w:val="16"/>
        </w:rPr>
        <w:t xml:space="preserve"> i</w:t>
      </w:r>
      <w:r>
        <w:rPr>
          <w:rFonts w:ascii="ArialMT" w:hAnsi="ArialMT" w:cs="ArialMT"/>
          <w:kern w:val="0"/>
          <w:sz w:val="16"/>
          <w:szCs w:val="16"/>
        </w:rPr>
        <w:t>nterest and at least as many archives. The Museum also has some 15,000 photographs, pictures and prints, and roughly 600 maps</w:t>
      </w:r>
      <w:r>
        <w:rPr>
          <w:rFonts w:ascii="ArialMT" w:hAnsi="ArialMT" w:cs="ArialMT"/>
          <w:kern w:val="0"/>
          <w:sz w:val="16"/>
          <w:szCs w:val="16"/>
        </w:rPr>
        <w:t>.</w:t>
      </w:r>
    </w:p>
    <w:p w14:paraId="09B9568F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10898055" w14:textId="0E43BC52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Stewardship of the photographs, pictures and maps is shared with the Library and Archive. The Museum, Library and Archive has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approximately 90,000 artefacts in total.</w:t>
      </w:r>
    </w:p>
    <w:p w14:paraId="224900A7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060CE62B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The trustees have paid due regard to guidance issued by the Charity Commission in deciding what activities the charity should</w:t>
      </w:r>
    </w:p>
    <w:p w14:paraId="37E6B652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undertake.</w:t>
      </w:r>
    </w:p>
    <w:p w14:paraId="64041478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28ED3232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>Achievements and performance</w:t>
      </w:r>
    </w:p>
    <w:p w14:paraId="2EAB69CD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Our Admission numbers for the period October 2024 - September 2025 were down by 9% on the previous year at 32,640.</w:t>
      </w:r>
    </w:p>
    <w:p w14:paraId="03D75019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7A5FC1F9" w14:textId="4680039A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Our social media presence on Facebook and Instagram has increased with regular postings to raise the Museum’s profile. Visitors to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our website and other social media outlets continue to rise.</w:t>
      </w:r>
    </w:p>
    <w:p w14:paraId="098D4BFD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375827F2" w14:textId="175B190F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Our temporary exhibition entitled Our Lasses – Inspirational Women of Whitby was very popular and was extended until June 2025.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This exhibition was shortlisted for a national Museum and Heritage award.</w:t>
      </w:r>
    </w:p>
    <w:p w14:paraId="6436BAAD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0F0D87C2" w14:textId="78A039FF" w:rsidR="009630C5" w:rsidRP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Following on from the </w:t>
      </w:r>
      <w:r>
        <w:rPr>
          <w:rFonts w:ascii="Arial-ItalicMT" w:hAnsi="Arial-ItalicMT" w:cs="Arial-ItalicMT"/>
          <w:i/>
          <w:iCs/>
          <w:kern w:val="0"/>
          <w:sz w:val="16"/>
          <w:szCs w:val="16"/>
        </w:rPr>
        <w:t xml:space="preserve">Our Lasses </w:t>
      </w:r>
      <w:r>
        <w:rPr>
          <w:rFonts w:ascii="ArialMT" w:hAnsi="ArialMT" w:cs="ArialMT"/>
          <w:kern w:val="0"/>
          <w:sz w:val="16"/>
          <w:szCs w:val="16"/>
        </w:rPr>
        <w:t xml:space="preserve">exhibition we hosted a prestigious exhibition of Aboriginal art; </w:t>
      </w:r>
      <w:r>
        <w:rPr>
          <w:rFonts w:ascii="Arial-ItalicMT" w:hAnsi="Arial-ItalicMT" w:cs="Arial-ItalicMT"/>
          <w:i/>
          <w:iCs/>
          <w:kern w:val="0"/>
          <w:sz w:val="16"/>
          <w:szCs w:val="16"/>
        </w:rPr>
        <w:t>Revisions – Made by the Warlpiri and</w:t>
      </w:r>
      <w:r>
        <w:rPr>
          <w:rFonts w:ascii="Arial-ItalicMT" w:hAnsi="Arial-ItalicMT" w:cs="Arial-ItalicMT"/>
          <w:i/>
          <w:iCs/>
          <w:kern w:val="0"/>
          <w:sz w:val="16"/>
          <w:szCs w:val="16"/>
        </w:rPr>
        <w:t xml:space="preserve"> </w:t>
      </w:r>
      <w:r>
        <w:rPr>
          <w:rFonts w:ascii="Arial-ItalicMT" w:hAnsi="Arial-ItalicMT" w:cs="Arial-ItalicMT"/>
          <w:i/>
          <w:iCs/>
          <w:kern w:val="0"/>
          <w:sz w:val="16"/>
          <w:szCs w:val="16"/>
        </w:rPr>
        <w:t xml:space="preserve">Patrick Waterhouse. </w:t>
      </w:r>
      <w:r>
        <w:rPr>
          <w:rFonts w:ascii="ArialMT" w:hAnsi="ArialMT" w:cs="ArialMT"/>
          <w:kern w:val="0"/>
          <w:sz w:val="16"/>
          <w:szCs w:val="16"/>
        </w:rPr>
        <w:t>This exhibition was curated by Rebecca Hossack, a well-known London gallery owner and specialist in the</w:t>
      </w:r>
      <w:r>
        <w:rPr>
          <w:rFonts w:ascii="Arial-ItalicMT" w:hAnsi="Arial-ItalicMT" w:cs="Arial-ItalicMT"/>
          <w:i/>
          <w:iCs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subject. This was the first time that the artworks had been seen in the UK and was very well received.</w:t>
      </w:r>
    </w:p>
    <w:p w14:paraId="67E490FD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346FEC1B" w14:textId="15B4C74B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The Museum Supporters Scheme established at the end of 2017 continues to attract new Museum Patrons. Further Patrons are being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sought and an increase in membership actively promoted.</w:t>
      </w:r>
    </w:p>
    <w:p w14:paraId="1E7C5F8B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44C19B34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>Training</w:t>
      </w:r>
    </w:p>
    <w:p w14:paraId="7B86D7AD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</w:p>
    <w:p w14:paraId="5C6E2267" w14:textId="5DE1A53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The Trustees remain aware of the importance of training and take advantage of opportunities as they occur. Several training courses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have been attended by staff and volunteers covering a number of topics such as: marketing, conservation, safeguarding, ladder safety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and emergency planning. Training opportunities will continue to be sought in the coming year.</w:t>
      </w:r>
    </w:p>
    <w:p w14:paraId="32E941D0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69CE09BA" w14:textId="579EBF13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Staff and volunteers regularly attend regional meetings with other museums as well as attending national conferences and meetings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associated with tourism, education and heritage.</w:t>
      </w:r>
    </w:p>
    <w:p w14:paraId="7BA2AD4D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2058242D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>Financial review</w:t>
      </w:r>
    </w:p>
    <w:p w14:paraId="517021EB" w14:textId="284E1CBD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During the year income received was £379,235 (2024: £262,980) and £395,188 was spent (2024: £348,405). This resulted in a deficit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of £15,953 (2024: deficit £85,425). Gains on Investments of £23,976 (2024: gains of £42,149) leaves a surplus of £8,023 (2024: deficit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£43,276).</w:t>
      </w:r>
    </w:p>
    <w:p w14:paraId="46DE29F1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7B943209" w14:textId="55D22344" w:rsidR="00246E66" w:rsidRDefault="009630C5" w:rsidP="009630C5">
      <w:pPr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We are grateful to the Thomas William Varley Roe Deceased Charity for continuously supporting us.</w:t>
      </w:r>
    </w:p>
    <w:p w14:paraId="4441D5DC" w14:textId="77777777" w:rsidR="009630C5" w:rsidRDefault="009630C5" w:rsidP="009630C5">
      <w:pPr>
        <w:rPr>
          <w:rFonts w:ascii="ArialMT" w:hAnsi="ArialMT" w:cs="ArialMT"/>
          <w:kern w:val="0"/>
          <w:sz w:val="16"/>
          <w:szCs w:val="16"/>
        </w:rPr>
      </w:pPr>
    </w:p>
    <w:p w14:paraId="66168561" w14:textId="77777777" w:rsidR="009630C5" w:rsidRDefault="009630C5" w:rsidP="009630C5">
      <w:pPr>
        <w:rPr>
          <w:rFonts w:ascii="ArialMT" w:hAnsi="ArialMT" w:cs="ArialMT"/>
          <w:kern w:val="0"/>
          <w:sz w:val="16"/>
          <w:szCs w:val="16"/>
        </w:rPr>
      </w:pPr>
    </w:p>
    <w:p w14:paraId="09FE3923" w14:textId="77777777" w:rsidR="009630C5" w:rsidRDefault="009630C5" w:rsidP="009630C5">
      <w:pPr>
        <w:rPr>
          <w:rFonts w:ascii="ArialMT" w:hAnsi="ArialMT" w:cs="ArialMT"/>
          <w:kern w:val="0"/>
          <w:sz w:val="16"/>
          <w:szCs w:val="16"/>
        </w:rPr>
      </w:pPr>
    </w:p>
    <w:p w14:paraId="2E8B8585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173D7530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42FFF534" w14:textId="398DFD5C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lastRenderedPageBreak/>
        <w:t>Financial Statements</w:t>
      </w:r>
    </w:p>
    <w:p w14:paraId="706EAF9E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>WHITBY LITERARY AND PHILOSOPHICAL SOCIETY</w:t>
      </w:r>
    </w:p>
    <w:p w14:paraId="61543788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TRUSTEES' REPORT (CONTINUED)</w:t>
      </w:r>
    </w:p>
    <w:p w14:paraId="76E3556A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kern w:val="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kern w:val="0"/>
          <w:sz w:val="20"/>
          <w:szCs w:val="20"/>
        </w:rPr>
        <w:t>FOR THE YEAR ENDED 30 SEPTEMBER 2025</w:t>
      </w:r>
    </w:p>
    <w:p w14:paraId="0A50AAC3" w14:textId="2BC55FD8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8"/>
          <w:szCs w:val="18"/>
        </w:rPr>
      </w:pPr>
    </w:p>
    <w:p w14:paraId="53B3BA01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>Reserves policy</w:t>
      </w:r>
    </w:p>
    <w:p w14:paraId="0BF1BE6B" w14:textId="51D983D9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The Society has funds from historic donations and legacies which are invested to maintain sufficient reserves to enable the Society to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be sustainable. Additional funds will be held in a quick access account to meet immediate needs.</w:t>
      </w:r>
    </w:p>
    <w:p w14:paraId="275DD275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5422CAD0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The free reserves at 30 September 2025 were £670,451 (2024: £627,627).</w:t>
      </w:r>
    </w:p>
    <w:p w14:paraId="4DE94F96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55CB7364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>PLANS FOR FUTURE PERIODS</w:t>
      </w:r>
    </w:p>
    <w:p w14:paraId="122296F8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</w:p>
    <w:p w14:paraId="79169765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Our current Forward Plan (2023-2026) is under continuous review.</w:t>
      </w:r>
    </w:p>
    <w:p w14:paraId="12080C52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72BAF640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Continuing conservation work is planned in the coming year to preserve the collections for future generations. Generous private</w:t>
      </w:r>
    </w:p>
    <w:p w14:paraId="0985D922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funding is enabling us to continue to upgrade specific facilities and functions to improve certain aspects of the Museum and its</w:t>
      </w:r>
    </w:p>
    <w:p w14:paraId="6EE7A5C5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operation.</w:t>
      </w:r>
    </w:p>
    <w:p w14:paraId="34BB64D3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47CF6E27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We will continue to attend national and regional meetings and conferences relevant to the museum.</w:t>
      </w:r>
    </w:p>
    <w:p w14:paraId="70F884D7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4EC1AD1F" w14:textId="0C3CA5E0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An Arts Council England funded project has allowed us to complete a scoping project looking at the redesign and reinterpretation of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 xml:space="preserve">our </w:t>
      </w:r>
      <w:proofErr w:type="gramStart"/>
      <w:r>
        <w:rPr>
          <w:rFonts w:ascii="ArialMT" w:hAnsi="ArialMT" w:cs="ArialMT"/>
          <w:kern w:val="0"/>
          <w:sz w:val="16"/>
          <w:szCs w:val="16"/>
        </w:rPr>
        <w:t>explorers</w:t>
      </w:r>
      <w:proofErr w:type="gramEnd"/>
      <w:r>
        <w:rPr>
          <w:rFonts w:ascii="ArialMT" w:hAnsi="ArialMT" w:cs="ArialMT"/>
          <w:kern w:val="0"/>
          <w:sz w:val="16"/>
          <w:szCs w:val="16"/>
        </w:rPr>
        <w:t xml:space="preserve"> wing. Further grant funding will be sought in the coming year to implement the project.</w:t>
      </w:r>
    </w:p>
    <w:p w14:paraId="54B25AC3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771B6E47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>Structure, governance and management</w:t>
      </w:r>
    </w:p>
    <w:p w14:paraId="56A510CE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</w:p>
    <w:p w14:paraId="726288D5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>Governing Document</w:t>
      </w:r>
    </w:p>
    <w:p w14:paraId="4C8E3D56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</w:p>
    <w:p w14:paraId="49285B13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The Society is governed by its Constitution, approved by the Members on 12 March 2017.</w:t>
      </w:r>
    </w:p>
    <w:p w14:paraId="69424D60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2C3ABFF2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>Summary of Powers</w:t>
      </w:r>
    </w:p>
    <w:p w14:paraId="0A861787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</w:p>
    <w:p w14:paraId="64E26ACC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 xml:space="preserve">The Society’s Constitution provides for the appointment of a </w:t>
      </w:r>
      <w:proofErr w:type="gramStart"/>
      <w:r>
        <w:rPr>
          <w:rFonts w:ascii="ArialMT" w:hAnsi="ArialMT" w:cs="ArialMT"/>
          <w:kern w:val="0"/>
          <w:sz w:val="16"/>
          <w:szCs w:val="16"/>
        </w:rPr>
        <w:t>Committee</w:t>
      </w:r>
      <w:proofErr w:type="gramEnd"/>
      <w:r>
        <w:rPr>
          <w:rFonts w:ascii="ArialMT" w:hAnsi="ArialMT" w:cs="ArialMT"/>
          <w:kern w:val="0"/>
          <w:sz w:val="16"/>
          <w:szCs w:val="16"/>
        </w:rPr>
        <w:t>, whose powers include:</w:t>
      </w:r>
    </w:p>
    <w:p w14:paraId="5D2803AD" w14:textId="436A8B42" w:rsidR="009630C5" w:rsidRPr="009630C5" w:rsidRDefault="009630C5" w:rsidP="009630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 w:rsidRPr="009630C5">
        <w:rPr>
          <w:rFonts w:ascii="ArialMT" w:hAnsi="ArialMT" w:cs="ArialMT"/>
          <w:kern w:val="0"/>
          <w:sz w:val="16"/>
          <w:szCs w:val="16"/>
        </w:rPr>
        <w:t>Power to raise funds</w:t>
      </w:r>
    </w:p>
    <w:p w14:paraId="6321EF71" w14:textId="26980A08" w:rsidR="009630C5" w:rsidRPr="009630C5" w:rsidRDefault="009630C5" w:rsidP="009630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 w:rsidRPr="009630C5">
        <w:rPr>
          <w:rFonts w:ascii="ArialMT" w:hAnsi="ArialMT" w:cs="ArialMT"/>
          <w:kern w:val="0"/>
          <w:sz w:val="16"/>
          <w:szCs w:val="16"/>
        </w:rPr>
        <w:t>Power to acquire and dispose of the property of the Society</w:t>
      </w:r>
    </w:p>
    <w:p w14:paraId="27EBBBF6" w14:textId="308AA9B6" w:rsidR="009630C5" w:rsidRPr="009630C5" w:rsidRDefault="009630C5" w:rsidP="009630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 w:rsidRPr="009630C5">
        <w:rPr>
          <w:rFonts w:ascii="ArialMT" w:hAnsi="ArialMT" w:cs="ArialMT"/>
          <w:kern w:val="0"/>
          <w:sz w:val="16"/>
          <w:szCs w:val="16"/>
        </w:rPr>
        <w:t>Power, subject to any consent required by law, to borrow money</w:t>
      </w:r>
    </w:p>
    <w:p w14:paraId="19969427" w14:textId="1452DD6A" w:rsidR="009630C5" w:rsidRDefault="009630C5" w:rsidP="009630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 w:rsidRPr="009630C5">
        <w:rPr>
          <w:rFonts w:ascii="ArialMT" w:hAnsi="ArialMT" w:cs="ArialMT"/>
          <w:kern w:val="0"/>
          <w:sz w:val="16"/>
          <w:szCs w:val="16"/>
        </w:rPr>
        <w:t>Power to appoint advisory committees</w:t>
      </w:r>
    </w:p>
    <w:p w14:paraId="71CB0A6D" w14:textId="77777777" w:rsidR="009630C5" w:rsidRPr="009630C5" w:rsidRDefault="009630C5" w:rsidP="009630C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40BE5018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>Nominees</w:t>
      </w:r>
    </w:p>
    <w:p w14:paraId="0404C7CF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</w:p>
    <w:p w14:paraId="74A3C39E" w14:textId="5EF1D6CB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As a CIO, the Society is now a legal entity that is able to hold its own investments and property. The Committee may also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permit any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investment held by or in trust for the Society to be held in the name of a clearing bank, trust, corporation or any stockbroking company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which is a member of the International Stock Exchange as a nominee of the Committee. The investments are managed by a nominee</w:t>
      </w:r>
      <w:r>
        <w:rPr>
          <w:rFonts w:ascii="ArialMT" w:hAnsi="ArialMT" w:cs="ArialMT"/>
          <w:kern w:val="0"/>
          <w:sz w:val="16"/>
          <w:szCs w:val="16"/>
        </w:rPr>
        <w:t xml:space="preserve"> </w:t>
      </w:r>
      <w:r>
        <w:rPr>
          <w:rFonts w:ascii="ArialMT" w:hAnsi="ArialMT" w:cs="ArialMT"/>
          <w:kern w:val="0"/>
          <w:sz w:val="16"/>
          <w:szCs w:val="16"/>
        </w:rPr>
        <w:t>company.</w:t>
      </w:r>
    </w:p>
    <w:p w14:paraId="20D86071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06748709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554F01EA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26E7F811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0A1B09A5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49946E32" w14:textId="77777777" w:rsidR="009630C5" w:rsidRDefault="009630C5" w:rsidP="009630C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The trustees' report was approved by the Board of Trustees.</w:t>
      </w:r>
    </w:p>
    <w:p w14:paraId="439AA9B7" w14:textId="4A4DAFCB" w:rsidR="009630C5" w:rsidRDefault="009630C5" w:rsidP="009630C5"/>
    <w:sectPr w:rsidR="009630C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B868" w14:textId="77777777" w:rsidR="00E6316D" w:rsidRDefault="00E6316D" w:rsidP="009630C5">
      <w:pPr>
        <w:spacing w:after="0" w:line="240" w:lineRule="auto"/>
      </w:pPr>
      <w:r>
        <w:separator/>
      </w:r>
    </w:p>
  </w:endnote>
  <w:endnote w:type="continuationSeparator" w:id="0">
    <w:p w14:paraId="354E22BA" w14:textId="77777777" w:rsidR="00E6316D" w:rsidRDefault="00E6316D" w:rsidP="0096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3696" w14:textId="77777777" w:rsidR="009630C5" w:rsidRDefault="009630C5">
    <w:pPr>
      <w:pStyle w:val="Footer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7BAAEEB0" w14:textId="77777777" w:rsidR="009630C5" w:rsidRDefault="00963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C85D" w14:textId="77777777" w:rsidR="00E6316D" w:rsidRDefault="00E6316D" w:rsidP="009630C5">
      <w:pPr>
        <w:spacing w:after="0" w:line="240" w:lineRule="auto"/>
      </w:pPr>
      <w:r>
        <w:separator/>
      </w:r>
    </w:p>
  </w:footnote>
  <w:footnote w:type="continuationSeparator" w:id="0">
    <w:p w14:paraId="05732CD4" w14:textId="77777777" w:rsidR="00E6316D" w:rsidRDefault="00E6316D" w:rsidP="00963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317F7"/>
    <w:multiLevelType w:val="hybridMultilevel"/>
    <w:tmpl w:val="22E03A6E"/>
    <w:lvl w:ilvl="0" w:tplc="557E3B08">
      <w:numFmt w:val="bullet"/>
      <w:lvlText w:val="·"/>
      <w:lvlJc w:val="left"/>
      <w:pPr>
        <w:ind w:left="720" w:hanging="360"/>
      </w:pPr>
      <w:rPr>
        <w:rFonts w:ascii="SymbolMT" w:eastAsiaTheme="minorHAnsi" w:hAnsi="SymbolMT" w:cs="SymbolMT" w:hint="default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C0826"/>
    <w:multiLevelType w:val="hybridMultilevel"/>
    <w:tmpl w:val="8FBCB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274731">
    <w:abstractNumId w:val="1"/>
  </w:num>
  <w:num w:numId="2" w16cid:durableId="90460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C5"/>
    <w:rsid w:val="00246E66"/>
    <w:rsid w:val="003A3972"/>
    <w:rsid w:val="00527477"/>
    <w:rsid w:val="009630C5"/>
    <w:rsid w:val="009C6028"/>
    <w:rsid w:val="00E6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986D"/>
  <w15:chartTrackingRefBased/>
  <w15:docId w15:val="{456928CD-3045-4FBB-87F8-C9078FEF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0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0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0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0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0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0C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0C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0C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0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0C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0C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3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0C5"/>
  </w:style>
  <w:style w:type="paragraph" w:styleId="Footer">
    <w:name w:val="footer"/>
    <w:basedOn w:val="Normal"/>
    <w:link w:val="FooterChar"/>
    <w:uiPriority w:val="99"/>
    <w:unhideWhenUsed/>
    <w:rsid w:val="00963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2026-01-12T11:17:00Z</dcterms:created>
  <dcterms:modified xsi:type="dcterms:W3CDTF">2026-01-12T11:25:00Z</dcterms:modified>
</cp:coreProperties>
</file>